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23" w:rsidRDefault="00BD0223" w:rsidP="00BD0223">
      <w:pPr>
        <w:rPr>
          <w:rFonts w:eastAsia="Times New Roman"/>
          <w:bCs/>
          <w:sz w:val="28"/>
          <w:szCs w:val="28"/>
          <w:lang w:val="en-AU"/>
        </w:rPr>
      </w:pPr>
      <w:r>
        <w:rPr>
          <w:rFonts w:eastAsia="Times New Roman"/>
          <w:bCs/>
          <w:i/>
          <w:sz w:val="28"/>
          <w:szCs w:val="28"/>
          <w:lang w:val="en-AU"/>
        </w:rPr>
        <w:t xml:space="preserve">Contemporary Drug Problems </w:t>
      </w:r>
      <w:r>
        <w:rPr>
          <w:rFonts w:eastAsia="Times New Roman"/>
          <w:bCs/>
          <w:sz w:val="28"/>
          <w:szCs w:val="28"/>
          <w:lang w:val="en-AU"/>
        </w:rPr>
        <w:t>39(2):311-343, 2012</w:t>
      </w:r>
    </w:p>
    <w:p w:rsidR="00BD0223" w:rsidRDefault="00BD0223" w:rsidP="00BD0223">
      <w:pPr>
        <w:jc w:val="center"/>
        <w:rPr>
          <w:rFonts w:eastAsia="Times New Roman"/>
          <w:b/>
          <w:bCs/>
          <w:sz w:val="36"/>
          <w:szCs w:val="28"/>
          <w:lang w:val="en-AU"/>
        </w:rPr>
      </w:pPr>
    </w:p>
    <w:p w:rsidR="00BD0223" w:rsidRDefault="00BD0223" w:rsidP="00BD0223">
      <w:pPr>
        <w:jc w:val="center"/>
        <w:rPr>
          <w:rFonts w:eastAsia="Times New Roman"/>
          <w:sz w:val="28"/>
          <w:szCs w:val="22"/>
          <w:vertAlign w:val="superscript"/>
          <w:lang w:val="en-AU"/>
        </w:rPr>
      </w:pPr>
      <w:proofErr w:type="gramStart"/>
      <w:r>
        <w:rPr>
          <w:rFonts w:eastAsia="Times New Roman"/>
          <w:b/>
          <w:bCs/>
          <w:sz w:val="36"/>
          <w:szCs w:val="28"/>
          <w:lang w:val="en-AU"/>
        </w:rPr>
        <w:t>Individualised control of drinkers: back to the future?</w:t>
      </w:r>
      <w:proofErr w:type="gramEnd"/>
    </w:p>
    <w:p w:rsidR="00BD0223" w:rsidRDefault="00BD0223" w:rsidP="00BD0223">
      <w:pPr>
        <w:jc w:val="center"/>
        <w:rPr>
          <w:rFonts w:eastAsia="Times New Roman"/>
          <w:sz w:val="22"/>
          <w:szCs w:val="22"/>
          <w:lang w:val="en-AU"/>
        </w:rPr>
      </w:pPr>
      <w:r>
        <w:rPr>
          <w:rFonts w:eastAsia="Times New Roman"/>
          <w:sz w:val="28"/>
          <w:szCs w:val="28"/>
          <w:lang w:val="en-AU"/>
        </w:rPr>
        <w:t>Robin Room</w:t>
      </w:r>
    </w:p>
    <w:p w:rsidR="00BD0223" w:rsidRDefault="00BD0223" w:rsidP="00BD0223">
      <w:pPr>
        <w:jc w:val="center"/>
        <w:rPr>
          <w:rFonts w:eastAsia="Times New Roman"/>
          <w:sz w:val="22"/>
          <w:szCs w:val="22"/>
          <w:lang w:val="en-AU"/>
        </w:rPr>
      </w:pPr>
      <w:r>
        <w:rPr>
          <w:rFonts w:eastAsia="Times New Roman"/>
          <w:sz w:val="28"/>
          <w:szCs w:val="28"/>
          <w:lang w:val="en-AU"/>
        </w:rPr>
        <w:t>AER Centre for Alcohol Policy Research, Turning Point Alcohol &amp; Drug Centre;</w:t>
      </w:r>
    </w:p>
    <w:p w:rsidR="00BD0223" w:rsidRDefault="00BD0223" w:rsidP="00BD0223">
      <w:pPr>
        <w:jc w:val="center"/>
        <w:rPr>
          <w:rFonts w:eastAsia="Times New Roman"/>
          <w:sz w:val="28"/>
          <w:szCs w:val="28"/>
          <w:lang w:val="en-AU"/>
        </w:rPr>
      </w:pPr>
      <w:r>
        <w:rPr>
          <w:rFonts w:eastAsia="Times New Roman"/>
          <w:sz w:val="28"/>
          <w:szCs w:val="28"/>
          <w:lang w:val="en-AU"/>
        </w:rPr>
        <w:t>School of Population Health, University of Melbourne;</w:t>
      </w:r>
    </w:p>
    <w:p w:rsidR="00BD0223" w:rsidRDefault="00BD0223" w:rsidP="00BD0223">
      <w:pPr>
        <w:jc w:val="center"/>
        <w:rPr>
          <w:rFonts w:eastAsia="Times New Roman"/>
          <w:sz w:val="28"/>
          <w:szCs w:val="28"/>
          <w:lang w:val="en-AU"/>
        </w:rPr>
      </w:pPr>
      <w:r>
        <w:rPr>
          <w:rFonts w:eastAsia="Times New Roman"/>
          <w:sz w:val="28"/>
          <w:szCs w:val="28"/>
          <w:lang w:val="en-AU"/>
        </w:rPr>
        <w:t>Centre for Social Research on Alcohol and Drugs, Stockholm University</w:t>
      </w:r>
    </w:p>
    <w:p w:rsidR="00BD0223" w:rsidRDefault="00BD0223" w:rsidP="00BD0223">
      <w:pPr>
        <w:rPr>
          <w:rFonts w:eastAsia="Times New Roman"/>
          <w:sz w:val="26"/>
          <w:szCs w:val="26"/>
          <w:lang w:val="en-AU"/>
        </w:rPr>
      </w:pPr>
    </w:p>
    <w:p w:rsidR="00BD0223" w:rsidRDefault="00BD0223" w:rsidP="00BD0223">
      <w:pPr>
        <w:rPr>
          <w:rFonts w:eastAsia="Times New Roman"/>
          <w:i/>
          <w:sz w:val="28"/>
          <w:szCs w:val="28"/>
          <w:lang w:val="en-AU"/>
        </w:rPr>
      </w:pPr>
      <w:r>
        <w:rPr>
          <w:rFonts w:eastAsia="Times New Roman"/>
          <w:i/>
          <w:sz w:val="28"/>
          <w:szCs w:val="28"/>
          <w:lang w:val="en-AU"/>
        </w:rPr>
        <w:t>Abstract </w:t>
      </w:r>
    </w:p>
    <w:p w:rsidR="00BD0223" w:rsidRDefault="00BD0223" w:rsidP="00BD0223">
      <w:pPr>
        <w:rPr>
          <w:rFonts w:eastAsia="Times New Roman"/>
          <w:sz w:val="22"/>
          <w:szCs w:val="22"/>
          <w:lang w:val="en-AU"/>
        </w:rPr>
      </w:pPr>
      <w:r>
        <w:rPr>
          <w:rFonts w:eastAsia="Times New Roman"/>
          <w:sz w:val="28"/>
          <w:szCs w:val="28"/>
          <w:lang w:val="en-AU"/>
        </w:rPr>
        <w:t xml:space="preserve">In recent years, there has been increasing resort in Anglophone countries to individualized control of drinkers.  </w:t>
      </w:r>
      <w:proofErr w:type="gramStart"/>
      <w:r>
        <w:rPr>
          <w:rFonts w:eastAsia="Times New Roman"/>
          <w:sz w:val="28"/>
          <w:szCs w:val="28"/>
          <w:lang w:val="en-AU"/>
        </w:rPr>
        <w:t>Thus</w:t>
      </w:r>
      <w:proofErr w:type="gramEnd"/>
      <w:r>
        <w:rPr>
          <w:rFonts w:eastAsia="Times New Roman"/>
          <w:sz w:val="28"/>
          <w:szCs w:val="28"/>
          <w:lang w:val="en-AU"/>
        </w:rPr>
        <w:t xml:space="preserve"> the Australian Northern Territory government has implemented legislation for electronically verifiable identification which must be checked against a banning list of adults prohibited from purchasing alcohol.  For another example, alcohol purchase banning orders </w:t>
      </w:r>
      <w:proofErr w:type="gramStart"/>
      <w:r>
        <w:rPr>
          <w:rFonts w:eastAsia="Times New Roman"/>
          <w:sz w:val="28"/>
          <w:szCs w:val="28"/>
          <w:lang w:val="en-AU"/>
        </w:rPr>
        <w:t>were instituted</w:t>
      </w:r>
      <w:proofErr w:type="gramEnd"/>
      <w:r>
        <w:rPr>
          <w:rFonts w:eastAsia="Times New Roman"/>
          <w:sz w:val="28"/>
          <w:szCs w:val="28"/>
          <w:lang w:val="en-AU"/>
        </w:rPr>
        <w:t xml:space="preserve"> in England and Wales by the Blair government.  The paper considers the earlier history of such individualized drinking controls, particularly in the alcohol control regimes of the 1920s-</w:t>
      </w:r>
      <w:proofErr w:type="gramStart"/>
      <w:r>
        <w:rPr>
          <w:rFonts w:eastAsia="Times New Roman"/>
          <w:sz w:val="28"/>
          <w:szCs w:val="28"/>
          <w:lang w:val="en-AU"/>
        </w:rPr>
        <w:t>1960s which</w:t>
      </w:r>
      <w:proofErr w:type="gramEnd"/>
      <w:r>
        <w:rPr>
          <w:rFonts w:eastAsia="Times New Roman"/>
          <w:sz w:val="28"/>
          <w:szCs w:val="28"/>
          <w:lang w:val="en-AU"/>
        </w:rPr>
        <w:t xml:space="preserve"> succeeded prohibition regimes or were set up in response to prohibition movements.  Questions addressed include what were the rationales of such individualised controls, how were they enforced, why were they largely abandoned, and what evidence is available on their effects.  The present-day resurgence of individualised controls </w:t>
      </w:r>
      <w:proofErr w:type="gramStart"/>
      <w:r>
        <w:rPr>
          <w:rFonts w:eastAsia="Times New Roman"/>
          <w:sz w:val="28"/>
          <w:szCs w:val="28"/>
          <w:lang w:val="en-AU"/>
        </w:rPr>
        <w:t>is interpreted</w:t>
      </w:r>
      <w:proofErr w:type="gramEnd"/>
      <w:r>
        <w:rPr>
          <w:rFonts w:eastAsia="Times New Roman"/>
          <w:sz w:val="28"/>
          <w:szCs w:val="28"/>
          <w:lang w:val="en-AU"/>
        </w:rPr>
        <w:t xml:space="preserve"> as the path of least resistance for politicians needing to be seen to do something about alcohol problems without substantially impinging on the alcohol market. </w:t>
      </w:r>
      <w:r>
        <w:rPr>
          <w:rFonts w:eastAsia="Times New Roman"/>
          <w:sz w:val="22"/>
          <w:szCs w:val="22"/>
          <w:lang w:val="en-AU"/>
        </w:rPr>
        <w:t xml:space="preserve">    </w:t>
      </w:r>
    </w:p>
    <w:p w:rsidR="00AC1D51" w:rsidRDefault="00AC1D51">
      <w:bookmarkStart w:id="0" w:name="_GoBack"/>
      <w:bookmarkEnd w:id="0"/>
    </w:p>
    <w:sectPr w:rsidR="00AC1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23"/>
    <w:rsid w:val="006A2D6E"/>
    <w:rsid w:val="00AC1D51"/>
    <w:rsid w:val="00BD0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056F8-4CD5-489F-B41D-D70EF1E5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23"/>
    <w:rPr>
      <w:rFonts w:ascii="Calibri" w:eastAsia="Calibri" w:hAnsi="Calibri"/>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La Trobe University</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Cook</dc:creator>
  <cp:keywords/>
  <dc:description/>
  <cp:lastModifiedBy>Megan Cook</cp:lastModifiedBy>
  <cp:revision>1</cp:revision>
  <dcterms:created xsi:type="dcterms:W3CDTF">2017-09-19T00:05:00Z</dcterms:created>
  <dcterms:modified xsi:type="dcterms:W3CDTF">2017-09-19T00:05:00Z</dcterms:modified>
</cp:coreProperties>
</file>